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36" w:rsidRPr="00634E36" w:rsidRDefault="00634E36" w:rsidP="00634E36">
      <w:pPr>
        <w:jc w:val="center"/>
        <w:rPr>
          <w:rFonts w:ascii="Arial" w:hAnsi="Arial" w:cs="Arial"/>
          <w:b/>
          <w:sz w:val="20"/>
          <w:szCs w:val="20"/>
        </w:rPr>
      </w:pPr>
    </w:p>
    <w:p w:rsidR="00634E36" w:rsidRPr="00E06E3E" w:rsidRDefault="00634E36" w:rsidP="00634E36">
      <w:pPr>
        <w:jc w:val="center"/>
        <w:rPr>
          <w:rFonts w:ascii="Arial" w:hAnsi="Arial" w:cs="Arial"/>
          <w:b/>
        </w:rPr>
      </w:pPr>
      <w:r w:rsidRPr="00E06E3E">
        <w:rPr>
          <w:rFonts w:ascii="Arial" w:hAnsi="Arial" w:cs="Arial"/>
          <w:b/>
        </w:rPr>
        <w:t>GRAFICUL DE CIRCUIT AL DOCUMENTELOR</w:t>
      </w:r>
    </w:p>
    <w:p w:rsidR="00634E36" w:rsidRPr="00634E36" w:rsidRDefault="00634E36" w:rsidP="00634E3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576"/>
        <w:gridCol w:w="6143"/>
        <w:gridCol w:w="1399"/>
        <w:gridCol w:w="4276"/>
      </w:tblGrid>
      <w:tr w:rsidR="00634E36" w:rsidRPr="00634E36" w:rsidTr="00634E36">
        <w:trPr>
          <w:tblHeader/>
        </w:trPr>
        <w:tc>
          <w:tcPr>
            <w:tcW w:w="133" w:type="pct"/>
            <w:shd w:val="clear" w:color="auto" w:fill="E6E6E6"/>
            <w:vAlign w:val="center"/>
          </w:tcPr>
          <w:p w:rsidR="00634E36" w:rsidRPr="00634E36" w:rsidRDefault="00634E36" w:rsidP="00634E3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Pas</w:t>
            </w:r>
          </w:p>
        </w:tc>
        <w:tc>
          <w:tcPr>
            <w:tcW w:w="871" w:type="pct"/>
            <w:shd w:val="clear" w:color="auto" w:fill="E6E6E6"/>
            <w:vAlign w:val="center"/>
          </w:tcPr>
          <w:p w:rsidR="00634E36" w:rsidRPr="00634E36" w:rsidRDefault="00634E36" w:rsidP="00634E3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Responsabil(i)</w:t>
            </w:r>
          </w:p>
        </w:tc>
        <w:tc>
          <w:tcPr>
            <w:tcW w:w="2077" w:type="pct"/>
            <w:shd w:val="clear" w:color="auto" w:fill="E6E6E6"/>
            <w:vAlign w:val="center"/>
          </w:tcPr>
          <w:p w:rsidR="00634E36" w:rsidRPr="00634E36" w:rsidRDefault="00634E36" w:rsidP="00634E3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Descriere</w:t>
            </w:r>
          </w:p>
        </w:tc>
        <w:tc>
          <w:tcPr>
            <w:tcW w:w="473" w:type="pct"/>
            <w:shd w:val="clear" w:color="auto" w:fill="E6E6E6"/>
            <w:vAlign w:val="center"/>
          </w:tcPr>
          <w:p w:rsidR="00634E36" w:rsidRPr="00634E36" w:rsidRDefault="00634E36" w:rsidP="00634E3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Termen</w:t>
            </w:r>
          </w:p>
        </w:tc>
        <w:tc>
          <w:tcPr>
            <w:tcW w:w="1447" w:type="pct"/>
            <w:shd w:val="clear" w:color="auto" w:fill="E6E6E6"/>
            <w:vAlign w:val="center"/>
          </w:tcPr>
          <w:p w:rsidR="00634E36" w:rsidRPr="00634E36" w:rsidRDefault="00634E36" w:rsidP="00634E3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Riscuri</w:t>
            </w:r>
          </w:p>
        </w:tc>
      </w:tr>
      <w:tr w:rsidR="00634E36" w:rsidRPr="00634E36" w:rsidTr="00634E36">
        <w:tc>
          <w:tcPr>
            <w:tcW w:w="5000" w:type="pct"/>
            <w:gridSpan w:val="5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I. ANGAJAREA CHELTUIELILOR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Compartimentul de specialitate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Întocmeşte Referatul de necesitate privind oportunitatea şi necesitatea efectuării angajamentului legal (contract de achiziţie publică, comandă, convenţie, contract de muncă, act administrativ de numire într-o funcţie publică etc.).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Se înaintează ordonatorului de credite.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Solicitările depăşesc bugetul aprobat.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Conducătorul instituţiei publice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kern w:val="32"/>
                <w:sz w:val="20"/>
                <w:szCs w:val="20"/>
                <w:lang w:eastAsia="ro-RO"/>
              </w:rPr>
              <w:t>Avizează Referatul de necesitate.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Nu avizează referatul deoarece achiziţia nu a fost prevăzută în Programul anual al achiziţiilor publice.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Compartimentul de specialitate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Verifică dacă proiectul de angajament legal respectă principiile unei bune gestiuni financiare, ale unui management financiar sănătos, în special ale economiei şi eficienţei cheltuielilor şi dacă rezultatele ce se doresc a fi obţinute sunt corespunzătoare resurselor utilizate.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32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Proiectul de angajament legal nu respectă principiile unei bune gestiuni financiare.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Persoana responsabilă pentru atribuirea contractului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spacing w:before="100" w:beforeAutospacing="1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Vizează propunerea de angajament dacă achiziţionarea de bunuri, servicii şi lucrări solicitate în Referatul de necesitate se încadrează în Programul de achiziţii publice aprobat; avizează şi propune modalitatea de realizare a achiziţiei.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Bunurile, serviciile şi lucrările solicitate în Referatul de necesitate nu se încadrează în Programul de achiziţii publice aprobat.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Persoana responsabilă pentru întocmirea contractelor de muncă/actelor administrative de numire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spacing w:before="100" w:beforeAutospacing="1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În cazul în care propunerea de angajament vizează angajări de personal sau acordarea de drepturi salariale, verifică dacă posturile respective sunt finanţate.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Posturile nu sunt finanţate.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6.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Compartimentul financiar-contabil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spacing w:before="100" w:beforeAutospacing="1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Avizează proiectului de angajament legal.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Nu avizează proiectul de angajament legal, deoarece nu există prevedere bugetară.</w:t>
            </w:r>
          </w:p>
        </w:tc>
      </w:tr>
      <w:tr w:rsidR="00634E36" w:rsidRPr="00634E36" w:rsidTr="00634E36">
        <w:tc>
          <w:tcPr>
            <w:tcW w:w="133" w:type="pct"/>
            <w:vMerge w:val="restar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7.</w:t>
            </w:r>
          </w:p>
        </w:tc>
        <w:tc>
          <w:tcPr>
            <w:tcW w:w="871" w:type="pct"/>
            <w:vMerge w:val="restart"/>
            <w:noWrap/>
          </w:tcPr>
          <w:p w:rsidR="00634E36" w:rsidRPr="00634E36" w:rsidRDefault="00634E36" w:rsidP="009146F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 xml:space="preserve">Persoana desemnată cu întocmirea documentelor pentru ALOP din cadrul </w:t>
            </w: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lastRenderedPageBreak/>
              <w:t>Compartimentului financiar-contabil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lastRenderedPageBreak/>
              <w:t>Verifică existenţa prevederilor bugetare şi a creditelor bugetare deschise pentru această destinaţie şi întocmeşte propunerea de angajare a cheltuielii.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lastRenderedPageBreak/>
              <w:t>Verifică dacă bunurile, serviciile</w:t>
            </w:r>
            <w:r w:rsidRPr="00634E36">
              <w:rPr>
                <w:rFonts w:ascii="Arial" w:hAnsi="Arial" w:cs="Arial"/>
                <w:color w:val="FF9900"/>
                <w:sz w:val="20"/>
                <w:szCs w:val="20"/>
                <w:lang w:eastAsia="ro-RO"/>
              </w:rPr>
              <w:t xml:space="preserve"> </w:t>
            </w: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şi lucrările care fac obiectul angajamentelor vor fi livrate, prestate, respectiv</w:t>
            </w:r>
            <w:r w:rsidRPr="00634E36">
              <w:rPr>
                <w:rFonts w:ascii="Arial" w:hAnsi="Arial" w:cs="Arial"/>
                <w:color w:val="FF9900"/>
                <w:sz w:val="20"/>
                <w:szCs w:val="20"/>
                <w:lang w:eastAsia="ro-RO"/>
              </w:rPr>
              <w:t xml:space="preserve"> </w:t>
            </w: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 xml:space="preserve">executate şi se vor plăti în exerciţiul bugetar </w:t>
            </w: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respectiv.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lastRenderedPageBreak/>
              <w:t>Bunurile nu au fost livrate.</w:t>
            </w:r>
          </w:p>
        </w:tc>
      </w:tr>
      <w:tr w:rsidR="00634E36" w:rsidRPr="00634E36" w:rsidTr="00634E36">
        <w:tc>
          <w:tcPr>
            <w:tcW w:w="133" w:type="pct"/>
            <w:vMerge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71" w:type="pct"/>
            <w:vMerge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Prezintă pentru viza de control financiar preventiv:</w:t>
            </w:r>
          </w:p>
          <w:p w:rsidR="00634E36" w:rsidRPr="00634E36" w:rsidRDefault="00634E36" w:rsidP="00634E36">
            <w:pPr>
              <w:numPr>
                <w:ilvl w:val="0"/>
                <w:numId w:val="1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ind w:left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Propunerea de angajament legal/Referatul de necesitate avizat de compartimentul intern specializat în atribuirea contractelor de achiziţie publică, de compartimentul financiar-contabil şi compartimentul contencios;</w:t>
            </w:r>
          </w:p>
          <w:p w:rsidR="00634E36" w:rsidRPr="00634E36" w:rsidRDefault="00634E36" w:rsidP="00634E36">
            <w:pPr>
              <w:numPr>
                <w:ilvl w:val="0"/>
                <w:numId w:val="1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ind w:left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Propunerea de angajare a unei cheltuieli – semnată şi completată cu datele privind subdiviziunea clasificaţiei bugetare şi creditele disponibile;</w:t>
            </w:r>
          </w:p>
          <w:p w:rsidR="00634E36" w:rsidRPr="00634E36" w:rsidRDefault="00634E36" w:rsidP="00634E36">
            <w:pPr>
              <w:numPr>
                <w:ilvl w:val="0"/>
                <w:numId w:val="1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ind w:left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Angajamentul bugetar individual/global.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Cel mult 2 zile lucrătoare de la primirea documentelor</w:t>
            </w: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Propunerea de angajare a unei cheltuieli nu este semnată şi nu este completată cu datele privind subdiviziunea clasificaţiei bugetare  şi creditele disponibile.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8.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Persoana desemnată să exercite controlul financiar preventiv propriu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Verifică dacă:</w:t>
            </w:r>
          </w:p>
          <w:p w:rsidR="00634E36" w:rsidRPr="00634E36" w:rsidRDefault="00634E36" w:rsidP="00634E36">
            <w:pPr>
              <w:numPr>
                <w:ilvl w:val="0"/>
                <w:numId w:val="1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ind w:left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proiectul de angajament legal a fost prezentat în conformitate cu norme metodologice reglementate în O.M.F.P. nr. 1.792/2002;</w:t>
            </w:r>
          </w:p>
          <w:p w:rsidR="00634E36" w:rsidRPr="00634E36" w:rsidRDefault="00634E36" w:rsidP="00634E36">
            <w:pPr>
              <w:numPr>
                <w:ilvl w:val="0"/>
                <w:numId w:val="1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ind w:left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există credite bugetare disponibile la subdiviziunea corespunzătoare din bugetul aprobat;</w:t>
            </w:r>
          </w:p>
          <w:p w:rsidR="00634E36" w:rsidRPr="00634E36" w:rsidRDefault="00634E36" w:rsidP="00634E36">
            <w:pPr>
              <w:numPr>
                <w:ilvl w:val="0"/>
                <w:numId w:val="1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ind w:left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proiectul de angajament legal se încadrează în limitele angajamentului bugetar, stabilite potrivit legii;</w:t>
            </w:r>
          </w:p>
          <w:p w:rsidR="00634E36" w:rsidRPr="00634E36" w:rsidRDefault="00634E36" w:rsidP="00634E36">
            <w:pPr>
              <w:numPr>
                <w:ilvl w:val="0"/>
                <w:numId w:val="1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ind w:left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proiectul de angajament legal respectă toate prevederile legale care îi sunt aplicabile, în vigoare la data efectuării sale (controlul de legalitate);</w:t>
            </w:r>
          </w:p>
          <w:p w:rsidR="00634E36" w:rsidRPr="00634E36" w:rsidRDefault="00634E36" w:rsidP="00634E36">
            <w:pPr>
              <w:numPr>
                <w:ilvl w:val="0"/>
                <w:numId w:val="1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ind w:left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proiectul de angajament legal respectă sub toate aspectele ansamblul principiilor şi regulilor procedurale şi metodologice care sunt aplicabile categoriei de cheltuieli din care fac parte (controlul de regularitate).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În cazul în care sunt îndeplinite condiţiile, acordă viza de control financiar preventiv şi înregistrează operaţiunea în Registrul privind operaţiunile prezentate la viza de control financiar preventiv.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Cel mult 2 zile lucrătoare de la primirea documentelor</w:t>
            </w: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ind w:left="7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Nu există credite bugetare disponibile la subdiviziunea corespunzătoare din bugetul aprobat.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9.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Conducătorul instituţiei publice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kern w:val="32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 xml:space="preserve">Aprobă angajamentul legal şi angajamentul bugetar individual/global şi transmite documentele Compartimentului </w:t>
            </w: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lastRenderedPageBreak/>
              <w:t>financiar-contabil.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Refuza aprobarea derulării operaţiunii şi solicita informaţii suplimentare.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lastRenderedPageBreak/>
              <w:t>10.</w:t>
            </w:r>
          </w:p>
        </w:tc>
        <w:tc>
          <w:tcPr>
            <w:tcW w:w="871" w:type="pct"/>
            <w:noWrap/>
          </w:tcPr>
          <w:p w:rsidR="00634E36" w:rsidRPr="00634E36" w:rsidRDefault="00634E36" w:rsidP="009146F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Persoana desemnată cu întocmirea documentelor pentru ALOP din cadrul Compartimen</w:t>
            </w:r>
            <w:bookmarkStart w:id="0" w:name="_GoBack"/>
            <w:bookmarkEnd w:id="0"/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tului financiar-contabil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spacing w:before="120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Primeşte Angajamentul bugetar individual/global şi rezervă fondurile publice pentru această destinaţie.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spacing w:before="120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În situaţia în care ordonatorul de credite a respins proiectul de angajament al cheltuielii, rezervarea fondurilor se anulează.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Omisiunea rezervării fondurilor publice pentru această destinaţie</w:t>
            </w:r>
          </w:p>
        </w:tc>
      </w:tr>
      <w:tr w:rsidR="00634E36" w:rsidRPr="00634E36" w:rsidTr="00634E36">
        <w:tc>
          <w:tcPr>
            <w:tcW w:w="5000" w:type="pct"/>
            <w:gridSpan w:val="5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II. LICHIDAREA CHELTUIELILOR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Comisia de recepţie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 xml:space="preserve">În cazul angajamentului legal care vizează achiziţionarea de bunuri, servicii şi lucrări, comisia de recepţie procedează la verificarea concordanţei între datele înscrise în </w:t>
            </w: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Factura fiscală şi cantităţile primite şi întocmeşte:</w:t>
            </w:r>
          </w:p>
          <w:p w:rsidR="00634E36" w:rsidRPr="00634E36" w:rsidRDefault="00634E36" w:rsidP="00634E36">
            <w:pPr>
              <w:numPr>
                <w:ilvl w:val="0"/>
                <w:numId w:val="2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Nota de recepţie şi constatare de diferenţe, în cazul bunurilor materiale, altele decât mijloacele fixe sau</w:t>
            </w:r>
          </w:p>
          <w:p w:rsidR="00634E36" w:rsidRPr="00634E36" w:rsidRDefault="00634E36" w:rsidP="00634E36">
            <w:pPr>
              <w:numPr>
                <w:ilvl w:val="0"/>
                <w:numId w:val="2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Proces-verbal de recepţie, în cazul mijloacelor fixe, servicii sau lucrări.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spacing w:before="120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Transmite persoanei responsabile să dea „Bun de Plată”: factura fiscală şi documentul de recepţie.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Nu se efectuează recepţia bunurilor, serviciilor sau lucrărilor.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Persoana desemnată să efectueze lichidarea cheltuielilor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Verifică documentele justificative şi existen</w:t>
            </w: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ţa</w:t>
            </w: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obligaţiei de plată din care </w:t>
            </w: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rezultă pretenţia (bunurile au fost livrate, lucrările executate şi serviciile prestate sau, după caz, existenţa unui titlu care să justifice plata: titlu executoriu, acord de împrumut, acord de grant etc.).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Vizează documentele justificative cu „Bun de plata”, confirmând că:</w:t>
            </w:r>
          </w:p>
          <w:p w:rsidR="00634E36" w:rsidRPr="00634E36" w:rsidRDefault="00634E36" w:rsidP="00634E36">
            <w:pPr>
              <w:numPr>
                <w:ilvl w:val="0"/>
                <w:numId w:val="3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bunurile furnizate au fost recepţionate, cu specificarea datei şi a locului primirii;</w:t>
            </w:r>
          </w:p>
          <w:p w:rsidR="00634E36" w:rsidRPr="00634E36" w:rsidRDefault="00634E36" w:rsidP="00634E36">
            <w:pPr>
              <w:numPr>
                <w:ilvl w:val="0"/>
                <w:numId w:val="3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lucrările au fost executate şi serviciile prestate;</w:t>
            </w:r>
          </w:p>
          <w:p w:rsidR="00634E36" w:rsidRPr="00634E36" w:rsidRDefault="00634E36" w:rsidP="00634E36">
            <w:pPr>
              <w:numPr>
                <w:ilvl w:val="0"/>
                <w:numId w:val="3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bunurile furnizate au fost înregistrate în gestiune şi în contabilitate, cu specificarea gestiunii şi a notei contabile de înregistrare.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 xml:space="preserve">Transmite Compartimentului financiar-contabil  factura fiscală </w:t>
            </w: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lastRenderedPageBreak/>
              <w:t>vizată cu „bun de plată” şi documentele de recepţie.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Întârzieri cauzate de constatarea unor neconcordanţe  între datele înscrise în documentele justificative şi angajamentul legal şi, în consecinţă, de solicitarea unor informaţii suplimentare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lastRenderedPageBreak/>
              <w:t>3.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Compartimentul financiar-contabil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Înregistrează în contabilitatea sintetică şi analitică bunurile furnizate, serviciile prestate sau lucrările executate şi obligaţia faţă de furnizor, pe baza facturii şi a documentului de recepţie.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Zilnic</w:t>
            </w: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ind w:left="72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Omisiunea înregistrării bunurilor furnizate, serviciilor prestate sau lucrărilor executate în contabilitate</w:t>
            </w:r>
          </w:p>
        </w:tc>
      </w:tr>
      <w:tr w:rsidR="00634E36" w:rsidRPr="00634E36" w:rsidTr="00634E36">
        <w:tc>
          <w:tcPr>
            <w:tcW w:w="5000" w:type="pct"/>
            <w:gridSpan w:val="5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III. ORDONANŢAREA CHELTUIELOR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Persoana desemnată cu întocmirea documentelor pentru ALOP din cadrul strcturilor organizaţionale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Pe baza documentelor justificative, întocmeşte</w:t>
            </w:r>
            <w:r w:rsidRPr="00634E36">
              <w:rPr>
                <w:rFonts w:ascii="Arial" w:hAnsi="Arial" w:cs="Arial"/>
                <w:b/>
                <w:sz w:val="20"/>
                <w:szCs w:val="20"/>
                <w:lang w:eastAsia="ro-RO"/>
              </w:rPr>
              <w:t xml:space="preserve"> </w:t>
            </w: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Ordonanţarea de plată</w:t>
            </w:r>
            <w:r w:rsidRPr="00634E36">
              <w:rPr>
                <w:rFonts w:ascii="Arial" w:hAnsi="Arial" w:cs="Arial"/>
                <w:b/>
                <w:sz w:val="20"/>
                <w:szCs w:val="20"/>
                <w:lang w:eastAsia="ro-RO"/>
              </w:rPr>
              <w:t xml:space="preserve">, </w:t>
            </w: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care este</w:t>
            </w:r>
            <w:r w:rsidRPr="00634E36">
              <w:rPr>
                <w:rFonts w:ascii="Arial" w:hAnsi="Arial" w:cs="Arial"/>
                <w:b/>
                <w:sz w:val="20"/>
                <w:szCs w:val="20"/>
                <w:lang w:eastAsia="ro-RO"/>
              </w:rPr>
              <w:t xml:space="preserve"> </w:t>
            </w: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însoţită de documentele justificative în original, respectiv Factura fiscală şi documentul de recepţie, cu care se  atestă parcurgerea fazei de lichidare (viza „Bun de Plată”).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Prezintă persoanei desemnate să exercite controlul financiar preventiv ordonanţarea de plată, semnată  de compartimentul de specialitate care a iniţiat operaţiunea, împreună cu documentele justificative în original.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Întocmirea Ordonanţărilor de plată fără să existe documente justificative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  <w:highlight w:val="lightGray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Persoana desemnată să exercite controlul financiar preventiv propriu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Verifică dacă pentru ordonanţările de plată supuse vizei au fost întocmite angajamente şi dacă sunt îndeplinite condiţiile de lichidare a angajamentelor.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Verifică dacă:</w:t>
            </w:r>
          </w:p>
          <w:p w:rsidR="00634E36" w:rsidRPr="00634E36" w:rsidRDefault="00634E36" w:rsidP="00634E36">
            <w:pPr>
              <w:numPr>
                <w:ilvl w:val="0"/>
                <w:numId w:val="4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ordonanţarea de plata a fost emisă corect;</w:t>
            </w:r>
          </w:p>
          <w:p w:rsidR="00634E36" w:rsidRPr="00634E36" w:rsidRDefault="00634E36" w:rsidP="00634E36">
            <w:pPr>
              <w:numPr>
                <w:ilvl w:val="0"/>
                <w:numId w:val="4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ordonanţarea de plata corespunde cu cheltuielile angajate şi cu suma respectivă;</w:t>
            </w:r>
          </w:p>
          <w:p w:rsidR="00634E36" w:rsidRPr="00634E36" w:rsidRDefault="00634E36" w:rsidP="00634E36">
            <w:pPr>
              <w:numPr>
                <w:ilvl w:val="0"/>
                <w:numId w:val="4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cheltuiala este înscrisă la subdiviziunea corespunzătoare din bugetul aprobat;</w:t>
            </w:r>
          </w:p>
          <w:p w:rsidR="00634E36" w:rsidRPr="00634E36" w:rsidRDefault="00634E36" w:rsidP="00634E36">
            <w:pPr>
              <w:numPr>
                <w:ilvl w:val="0"/>
                <w:numId w:val="4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există credite bugetare disponibile;</w:t>
            </w:r>
          </w:p>
          <w:p w:rsidR="00634E36" w:rsidRPr="00634E36" w:rsidRDefault="00634E36" w:rsidP="00634E36">
            <w:pPr>
              <w:numPr>
                <w:ilvl w:val="0"/>
                <w:numId w:val="4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documentele justificative sunt în conformitate cu prevederile legale;</w:t>
            </w:r>
          </w:p>
          <w:p w:rsidR="00634E36" w:rsidRPr="00634E36" w:rsidRDefault="00634E36" w:rsidP="00634E36">
            <w:pPr>
              <w:numPr>
                <w:ilvl w:val="0"/>
                <w:numId w:val="4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numele şi datele de identificare ale creditorului sunt corecte.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Dacă sunt  îndeplinite toate condiţiile, acordă viza de control financiar preventiv şi înregistrează operaţiunea în Registrul privind operaţiunile prezentate la viza de control financiar preventiv.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Cel mult 2 zile lucrătoare de la primirea documentelor</w:t>
            </w: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Nu se acordă viza deoarece nu sunt îndeplinite condiţiile de legalitate şi regularitate.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Conducătorul instituţiei publice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Semnează „Ordonanţarea de plată”.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Transmite Compartimentului financiar-contabil </w:t>
            </w: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„Ordonanţarea de plată”</w:t>
            </w: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pentru a întocmi instrumentele de plată a cheltuielilor.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Omite să transmită </w:t>
            </w: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„Ordonanţarea de plată”</w:t>
            </w:r>
            <w:r w:rsidRPr="00634E3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pentru a întocmi instrumentele de plată a cheltuielilor.</w:t>
            </w:r>
          </w:p>
        </w:tc>
      </w:tr>
      <w:tr w:rsidR="00634E36" w:rsidRPr="00634E36" w:rsidTr="00634E36">
        <w:tc>
          <w:tcPr>
            <w:tcW w:w="5000" w:type="pct"/>
            <w:gridSpan w:val="5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b/>
                <w:sz w:val="20"/>
                <w:szCs w:val="20"/>
                <w:lang w:eastAsia="ro-RO"/>
              </w:rPr>
              <w:lastRenderedPageBreak/>
              <w:t>IV. PLATA CHELTUIELOR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Compartimentul financiar-contabil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Verifică dacă sunt îndeplinite următoarele condiţii:</w:t>
            </w:r>
          </w:p>
          <w:p w:rsidR="00634E36" w:rsidRPr="00634E36" w:rsidRDefault="00634E36" w:rsidP="00634E36">
            <w:pPr>
              <w:numPr>
                <w:ilvl w:val="0"/>
                <w:numId w:val="5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cheltuielile care urmează să fie plătite au fost angajate, lichidate şi ordonanţate;</w:t>
            </w:r>
          </w:p>
          <w:p w:rsidR="00634E36" w:rsidRPr="00634E36" w:rsidRDefault="00634E36" w:rsidP="00634E36">
            <w:pPr>
              <w:numPr>
                <w:ilvl w:val="0"/>
                <w:numId w:val="5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există credite bugetare deschise/repartizate sau disponibilităţi în conturi de disponibil;</w:t>
            </w:r>
          </w:p>
          <w:p w:rsidR="00634E36" w:rsidRPr="00634E36" w:rsidRDefault="00634E36" w:rsidP="00634E36">
            <w:pPr>
              <w:numPr>
                <w:ilvl w:val="0"/>
                <w:numId w:val="5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subdiviziunea bugetului aprobat de la care se efectuează plata este cea corectă şi corespunde naturii cheltuielilor respective;</w:t>
            </w:r>
          </w:p>
          <w:p w:rsidR="00634E36" w:rsidRPr="00634E36" w:rsidRDefault="00634E36" w:rsidP="00634E36">
            <w:pPr>
              <w:numPr>
                <w:ilvl w:val="0"/>
                <w:numId w:val="5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există toate documentele care să justifice plata;</w:t>
            </w:r>
          </w:p>
          <w:p w:rsidR="00634E36" w:rsidRPr="00634E36" w:rsidRDefault="00634E36" w:rsidP="00634E36">
            <w:pPr>
              <w:numPr>
                <w:ilvl w:val="0"/>
                <w:numId w:val="5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semnăturile de pe documentele justificative aparţin ordonatorului de credite sau persoanelor desemnate de acesta pentru procesul executării cheltuielilor bugetare, potrivit legii;</w:t>
            </w:r>
          </w:p>
          <w:p w:rsidR="00634E36" w:rsidRPr="00634E36" w:rsidRDefault="00634E36" w:rsidP="00634E36">
            <w:pPr>
              <w:numPr>
                <w:ilvl w:val="0"/>
                <w:numId w:val="5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beneficiarul sumelor este cel îndreptăţit potrivit documentelor care atestă serviciul efectuat;</w:t>
            </w:r>
          </w:p>
          <w:p w:rsidR="00634E36" w:rsidRPr="00634E36" w:rsidRDefault="00634E36" w:rsidP="00634E36">
            <w:pPr>
              <w:numPr>
                <w:ilvl w:val="0"/>
                <w:numId w:val="5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suma datorată beneficiarului este corectă;</w:t>
            </w:r>
          </w:p>
          <w:p w:rsidR="00634E36" w:rsidRPr="00634E36" w:rsidRDefault="00634E36" w:rsidP="00634E36">
            <w:pPr>
              <w:numPr>
                <w:ilvl w:val="0"/>
                <w:numId w:val="5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documentele de angajare şi ordonanţare au primit viza de control financiar preventiv propriu;</w:t>
            </w:r>
          </w:p>
          <w:p w:rsidR="00634E36" w:rsidRPr="00634E36" w:rsidRDefault="00634E36" w:rsidP="00634E36">
            <w:pPr>
              <w:numPr>
                <w:ilvl w:val="0"/>
                <w:numId w:val="5"/>
              </w:numPr>
              <w:tabs>
                <w:tab w:val="clear" w:pos="1260"/>
                <w:tab w:val="num" w:pos="435"/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5" w:hanging="435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documentele sunt întocmite cu toate datele cerute de formular.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Întocmeşte instrumentele de plată pentru stingerea obligaţiei faţă de creditor (Ordin de plată de trezorerie, Dispoziţie de plată către casierie).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Cel mult 3 zile lucrătoare de la primirea documentelor</w:t>
            </w: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Suspendarea plăţii dacă nu exista credite bugetare deschise şi/sau repartizate ori dacă disponibilităţile sunt insuficiente.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Persoanele care au dreptul să dispună de existentul din conturile deschise la trezorerie sau bănci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Semnează instrumentele de plată.</w:t>
            </w: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Zilnic</w:t>
            </w: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Suspendarea plăţii din cauza constatării unei erori în legătură cu plata ce urmează să fie efectuată.</w:t>
            </w:r>
          </w:p>
        </w:tc>
      </w:tr>
      <w:tr w:rsidR="00634E36" w:rsidRPr="00634E36" w:rsidTr="00634E36">
        <w:tc>
          <w:tcPr>
            <w:tcW w:w="133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871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Compartimentul financiar-contabil</w:t>
            </w:r>
          </w:p>
        </w:tc>
        <w:tc>
          <w:tcPr>
            <w:tcW w:w="207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Înregistrează în contabilitate operaţiunea.</w:t>
            </w:r>
          </w:p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shd w:val="clear" w:color="auto" w:fill="auto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Zilnic</w:t>
            </w:r>
          </w:p>
        </w:tc>
        <w:tc>
          <w:tcPr>
            <w:tcW w:w="1447" w:type="pct"/>
            <w:noWrap/>
          </w:tcPr>
          <w:p w:rsidR="00634E36" w:rsidRPr="00634E36" w:rsidRDefault="00634E36" w:rsidP="00B567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634E36">
              <w:rPr>
                <w:rFonts w:ascii="Arial" w:hAnsi="Arial" w:cs="Arial"/>
                <w:sz w:val="20"/>
                <w:szCs w:val="20"/>
                <w:lang w:eastAsia="ro-RO"/>
              </w:rPr>
              <w:t>Omite să înregistreze în contabilitate operaţiunea.</w:t>
            </w:r>
          </w:p>
        </w:tc>
      </w:tr>
    </w:tbl>
    <w:p w:rsidR="00D80962" w:rsidRPr="00634E36" w:rsidRDefault="00524C4C">
      <w:pPr>
        <w:rPr>
          <w:rFonts w:ascii="Arial" w:hAnsi="Arial" w:cs="Arial"/>
          <w:sz w:val="20"/>
          <w:szCs w:val="20"/>
        </w:rPr>
      </w:pPr>
    </w:p>
    <w:sectPr w:rsidR="00D80962" w:rsidRPr="00634E36" w:rsidSect="00C37F4A">
      <w:headerReference w:type="default" r:id="rId8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4C" w:rsidRDefault="00524C4C" w:rsidP="00634E36">
      <w:r>
        <w:separator/>
      </w:r>
    </w:p>
  </w:endnote>
  <w:endnote w:type="continuationSeparator" w:id="0">
    <w:p w:rsidR="00524C4C" w:rsidRDefault="00524C4C" w:rsidP="0063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4C" w:rsidRDefault="00524C4C" w:rsidP="00634E36">
      <w:r>
        <w:separator/>
      </w:r>
    </w:p>
  </w:footnote>
  <w:footnote w:type="continuationSeparator" w:id="0">
    <w:p w:rsidR="00524C4C" w:rsidRDefault="00524C4C" w:rsidP="0063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36"/>
      <w:gridCol w:w="6436"/>
      <w:gridCol w:w="1502"/>
      <w:gridCol w:w="1713"/>
    </w:tblGrid>
    <w:tr w:rsidR="00634E36" w:rsidRPr="00634E36" w:rsidTr="00634E36">
      <w:trPr>
        <w:cantSplit/>
        <w:trHeight w:val="203"/>
      </w:trPr>
      <w:tc>
        <w:tcPr>
          <w:tcW w:w="1692" w:type="pct"/>
          <w:vMerge w:val="restart"/>
          <w:vAlign w:val="center"/>
        </w:tcPr>
        <w:p w:rsidR="00634E36" w:rsidRPr="00634E36" w:rsidRDefault="00634E36" w:rsidP="00634E36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4E36">
            <w:rPr>
              <w:rFonts w:ascii="Arial" w:hAnsi="Arial" w:cs="Arial"/>
              <w:b/>
              <w:sz w:val="20"/>
              <w:szCs w:val="20"/>
            </w:rPr>
            <w:t>UNIVERSITATEA  TEHNICĂ</w:t>
          </w:r>
        </w:p>
        <w:p w:rsidR="00634E36" w:rsidRPr="00634E36" w:rsidRDefault="00634E36" w:rsidP="00634E3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4E36">
            <w:rPr>
              <w:rFonts w:ascii="Arial" w:hAnsi="Arial" w:cs="Arial"/>
              <w:b/>
              <w:sz w:val="20"/>
              <w:szCs w:val="20"/>
            </w:rPr>
            <w:t>"GHEORGHE  ASACHI"  DIN  IAŞI</w:t>
          </w:r>
        </w:p>
        <w:p w:rsidR="00634E36" w:rsidRPr="00634E36" w:rsidRDefault="00634E36" w:rsidP="00634E3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634E36" w:rsidRPr="00634E36" w:rsidRDefault="00634E36" w:rsidP="00634E36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4E36">
            <w:rPr>
              <w:rFonts w:ascii="Arial" w:hAnsi="Arial" w:cs="Arial"/>
              <w:b/>
              <w:sz w:val="20"/>
              <w:szCs w:val="20"/>
            </w:rPr>
            <w:t>DIRECŢIA ECONOMICĂ</w:t>
          </w:r>
        </w:p>
        <w:p w:rsidR="00634E36" w:rsidRPr="00634E36" w:rsidRDefault="00634E36" w:rsidP="00634E36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4E36">
            <w:rPr>
              <w:rFonts w:ascii="Arial" w:hAnsi="Arial" w:cs="Arial"/>
              <w:b/>
              <w:sz w:val="20"/>
              <w:szCs w:val="20"/>
            </w:rPr>
            <w:t>Serviciul Contabilitate</w:t>
          </w:r>
        </w:p>
      </w:tc>
      <w:tc>
        <w:tcPr>
          <w:tcW w:w="2206" w:type="pct"/>
          <w:vMerge w:val="restart"/>
          <w:vAlign w:val="center"/>
        </w:tcPr>
        <w:p w:rsidR="00634E36" w:rsidRPr="00634E36" w:rsidRDefault="00634E36" w:rsidP="00634E3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4E36">
            <w:rPr>
              <w:rFonts w:ascii="Arial" w:hAnsi="Arial" w:cs="Arial"/>
              <w:b/>
              <w:sz w:val="20"/>
              <w:szCs w:val="20"/>
            </w:rPr>
            <w:t>Graficul de circuit al documentelor</w:t>
          </w:r>
        </w:p>
      </w:tc>
      <w:tc>
        <w:tcPr>
          <w:tcW w:w="1103" w:type="pct"/>
          <w:gridSpan w:val="2"/>
          <w:vAlign w:val="center"/>
        </w:tcPr>
        <w:p w:rsidR="00634E36" w:rsidRPr="00634E36" w:rsidRDefault="00634E36" w:rsidP="00634E36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4E36">
            <w:rPr>
              <w:rFonts w:ascii="Arial" w:hAnsi="Arial" w:cs="Arial"/>
              <w:b/>
              <w:sz w:val="20"/>
              <w:szCs w:val="20"/>
            </w:rPr>
            <w:t>PO.DE.03-A1</w:t>
          </w:r>
        </w:p>
      </w:tc>
    </w:tr>
    <w:tr w:rsidR="00634E36" w:rsidRPr="00634E36" w:rsidTr="00634E36">
      <w:trPr>
        <w:cantSplit/>
        <w:trHeight w:val="202"/>
      </w:trPr>
      <w:tc>
        <w:tcPr>
          <w:tcW w:w="1692" w:type="pct"/>
          <w:vMerge/>
          <w:vAlign w:val="center"/>
        </w:tcPr>
        <w:p w:rsidR="00634E36" w:rsidRPr="00634E36" w:rsidRDefault="00634E36" w:rsidP="00634E36">
          <w:pPr>
            <w:tabs>
              <w:tab w:val="center" w:pos="4153"/>
              <w:tab w:val="right" w:pos="8306"/>
            </w:tabs>
            <w:spacing w:before="40"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06" w:type="pct"/>
          <w:vMerge/>
        </w:tcPr>
        <w:p w:rsidR="00634E36" w:rsidRPr="00634E36" w:rsidRDefault="00634E36" w:rsidP="00634E36">
          <w:pPr>
            <w:keepNext/>
            <w:spacing w:line="360" w:lineRule="auto"/>
            <w:jc w:val="center"/>
            <w:outlineLvl w:val="2"/>
            <w:rPr>
              <w:rFonts w:ascii="Arial" w:hAnsi="Arial" w:cs="Arial"/>
              <w:b/>
              <w:spacing w:val="60"/>
              <w:sz w:val="20"/>
              <w:szCs w:val="20"/>
              <w:lang w:val="it-IT"/>
            </w:rPr>
          </w:pPr>
        </w:p>
      </w:tc>
      <w:tc>
        <w:tcPr>
          <w:tcW w:w="515" w:type="pct"/>
          <w:vAlign w:val="center"/>
        </w:tcPr>
        <w:p w:rsidR="00634E36" w:rsidRPr="00634E36" w:rsidRDefault="00634E36" w:rsidP="00634E36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4E36">
            <w:rPr>
              <w:rFonts w:ascii="Arial" w:hAnsi="Arial" w:cs="Arial"/>
              <w:b/>
              <w:sz w:val="20"/>
              <w:szCs w:val="20"/>
            </w:rPr>
            <w:t>Ediţia 1</w:t>
          </w:r>
        </w:p>
      </w:tc>
      <w:tc>
        <w:tcPr>
          <w:tcW w:w="588" w:type="pct"/>
          <w:vAlign w:val="center"/>
        </w:tcPr>
        <w:p w:rsidR="00634E36" w:rsidRPr="00634E36" w:rsidRDefault="00634E36" w:rsidP="00634E36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4E36">
            <w:rPr>
              <w:rFonts w:ascii="Arial" w:hAnsi="Arial" w:cs="Arial"/>
              <w:b/>
              <w:sz w:val="20"/>
              <w:szCs w:val="20"/>
            </w:rPr>
            <w:t>Revizia 0</w:t>
          </w:r>
        </w:p>
      </w:tc>
    </w:tr>
    <w:tr w:rsidR="00634E36" w:rsidRPr="00634E36" w:rsidTr="00634E36">
      <w:trPr>
        <w:cantSplit/>
      </w:trPr>
      <w:tc>
        <w:tcPr>
          <w:tcW w:w="1692" w:type="pct"/>
          <w:vMerge/>
          <w:vAlign w:val="center"/>
        </w:tcPr>
        <w:p w:rsidR="00634E36" w:rsidRPr="00634E36" w:rsidRDefault="00634E36" w:rsidP="00634E36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06" w:type="pct"/>
          <w:vMerge/>
          <w:vAlign w:val="center"/>
        </w:tcPr>
        <w:p w:rsidR="00634E36" w:rsidRPr="00634E36" w:rsidRDefault="00634E36" w:rsidP="00634E36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03" w:type="pct"/>
          <w:gridSpan w:val="2"/>
          <w:vAlign w:val="center"/>
        </w:tcPr>
        <w:p w:rsidR="00634E36" w:rsidRPr="00634E36" w:rsidRDefault="00634E36" w:rsidP="00634E36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4E36">
            <w:rPr>
              <w:rFonts w:ascii="Arial" w:hAnsi="Arial" w:cs="Arial"/>
              <w:b/>
              <w:sz w:val="20"/>
              <w:szCs w:val="20"/>
            </w:rPr>
            <w:t xml:space="preserve">Pagina </w:t>
          </w:r>
          <w:r w:rsidRPr="00634E3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34E36">
            <w:rPr>
              <w:rFonts w:ascii="Arial" w:hAnsi="Arial" w:cs="Arial"/>
              <w:b/>
              <w:sz w:val="20"/>
              <w:szCs w:val="20"/>
            </w:rPr>
            <w:instrText xml:space="preserve"> PAGE   \* MERGEFORMAT </w:instrText>
          </w:r>
          <w:r w:rsidRPr="00634E3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146F8">
            <w:rPr>
              <w:rFonts w:ascii="Arial" w:hAnsi="Arial" w:cs="Arial"/>
              <w:b/>
              <w:noProof/>
              <w:sz w:val="20"/>
              <w:szCs w:val="20"/>
            </w:rPr>
            <w:t>5</w:t>
          </w:r>
          <w:r w:rsidRPr="00634E3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634E36">
            <w:rPr>
              <w:rFonts w:ascii="Arial" w:hAnsi="Arial" w:cs="Arial"/>
              <w:b/>
              <w:sz w:val="20"/>
              <w:szCs w:val="20"/>
            </w:rPr>
            <w:t xml:space="preserve">/ </w:t>
          </w:r>
          <w:r w:rsidR="00E06E3E"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  <w:tr w:rsidR="00634E36" w:rsidRPr="00634E36" w:rsidTr="00634E36">
      <w:trPr>
        <w:cantSplit/>
      </w:trPr>
      <w:tc>
        <w:tcPr>
          <w:tcW w:w="1692" w:type="pct"/>
          <w:vMerge/>
          <w:tcBorders>
            <w:bottom w:val="single" w:sz="4" w:space="0" w:color="auto"/>
          </w:tcBorders>
          <w:vAlign w:val="center"/>
        </w:tcPr>
        <w:p w:rsidR="00634E36" w:rsidRPr="00634E36" w:rsidRDefault="00634E36" w:rsidP="00634E36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06" w:type="pct"/>
          <w:vMerge/>
          <w:tcBorders>
            <w:bottom w:val="single" w:sz="4" w:space="0" w:color="auto"/>
          </w:tcBorders>
          <w:vAlign w:val="center"/>
        </w:tcPr>
        <w:p w:rsidR="00634E36" w:rsidRPr="00634E36" w:rsidRDefault="00634E36" w:rsidP="00634E36">
          <w:pPr>
            <w:tabs>
              <w:tab w:val="center" w:pos="4153"/>
              <w:tab w:val="right" w:pos="8306"/>
            </w:tabs>
            <w:spacing w:before="60"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03" w:type="pct"/>
          <w:gridSpan w:val="2"/>
          <w:vAlign w:val="center"/>
        </w:tcPr>
        <w:p w:rsidR="00634E36" w:rsidRPr="00634E36" w:rsidRDefault="00634E36" w:rsidP="00634E36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4E36">
            <w:rPr>
              <w:rFonts w:ascii="Arial" w:hAnsi="Arial" w:cs="Arial"/>
              <w:b/>
              <w:sz w:val="20"/>
              <w:szCs w:val="20"/>
            </w:rPr>
            <w:t>Exemplar nr. 1</w:t>
          </w:r>
        </w:p>
      </w:tc>
    </w:tr>
  </w:tbl>
  <w:p w:rsidR="00634E36" w:rsidRDefault="00634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6F39"/>
    <w:multiLevelType w:val="hybridMultilevel"/>
    <w:tmpl w:val="7A3009E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5A6AAE"/>
    <w:multiLevelType w:val="hybridMultilevel"/>
    <w:tmpl w:val="C83AE8B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CB4943"/>
    <w:multiLevelType w:val="hybridMultilevel"/>
    <w:tmpl w:val="A094ED4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9E1322"/>
    <w:multiLevelType w:val="hybridMultilevel"/>
    <w:tmpl w:val="4060134E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0B52FC"/>
    <w:multiLevelType w:val="hybridMultilevel"/>
    <w:tmpl w:val="B4C0C36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4A"/>
    <w:rsid w:val="00215834"/>
    <w:rsid w:val="002672A4"/>
    <w:rsid w:val="003834BD"/>
    <w:rsid w:val="00524C4C"/>
    <w:rsid w:val="0055647D"/>
    <w:rsid w:val="00573965"/>
    <w:rsid w:val="00634E36"/>
    <w:rsid w:val="006F0BF5"/>
    <w:rsid w:val="00766C8F"/>
    <w:rsid w:val="0084024B"/>
    <w:rsid w:val="009146F8"/>
    <w:rsid w:val="009D06F5"/>
    <w:rsid w:val="00A16EEC"/>
    <w:rsid w:val="00C37F4A"/>
    <w:rsid w:val="00E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3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34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3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3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34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3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T</dc:creator>
  <cp:lastModifiedBy>Delia</cp:lastModifiedBy>
  <cp:revision>5</cp:revision>
  <dcterms:created xsi:type="dcterms:W3CDTF">2017-05-30T05:54:00Z</dcterms:created>
  <dcterms:modified xsi:type="dcterms:W3CDTF">2017-09-11T09:00:00Z</dcterms:modified>
</cp:coreProperties>
</file>